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7A6C99" w:rsidRDefault="000600AE" w:rsidP="005C18C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6C9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99" w:rsidRPr="007A6C99" w:rsidRDefault="007A6C99" w:rsidP="007A6C99">
      <w:pPr>
        <w:pStyle w:val="1"/>
        <w:spacing w:before="0" w:after="0"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A6C99">
        <w:rPr>
          <w:rFonts w:ascii="Times New Roman" w:hAnsi="Times New Roman" w:cs="Times New Roman"/>
          <w:color w:val="auto"/>
          <w:sz w:val="28"/>
          <w:szCs w:val="28"/>
        </w:rPr>
        <w:t>Безопасна сделка или нет? ФКП запустила пилотный проект по предоставлению экспертного заключения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b/>
          <w:bCs/>
          <w:sz w:val="16"/>
          <w:szCs w:val="16"/>
        </w:rPr>
      </w:pP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 xml:space="preserve">В сентябре 2020 года Федеральная кадастровая палата запустила пилотный проект по предоставлению гражданам, </w:t>
      </w:r>
      <w:proofErr w:type="spellStart"/>
      <w:r w:rsidRPr="007A6C99">
        <w:rPr>
          <w:b/>
          <w:bCs/>
          <w:sz w:val="28"/>
          <w:szCs w:val="28"/>
        </w:rPr>
        <w:t>юрлицам</w:t>
      </w:r>
      <w:proofErr w:type="spellEnd"/>
      <w:r w:rsidRPr="007A6C99">
        <w:rPr>
          <w:b/>
          <w:bCs/>
          <w:sz w:val="28"/>
          <w:szCs w:val="28"/>
        </w:rPr>
        <w:t xml:space="preserve"> и индивидуальным предпринимателям экспертно-аналитического заключения о безопасности сделки с объектом недвижимости, а также перспективах его развития. На данный момент услугу можно получить в филиалах по Ставропольскому краю и Астраханской области.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В сентябре 2020 года стартовал эксперимент Федеральной кадастровой палаты по оказанию консультаций, связанных с оборотом объектов недвижимости на рынке, а также по подготовке сводных информационных справок об объекте недвижимости. В качестве экспериментальных площадок были выбраны филиалы Кадастровой палаты по Ставропольскому краю и Астраханской области.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i/>
          <w:iCs/>
          <w:sz w:val="28"/>
          <w:szCs w:val="28"/>
        </w:rPr>
        <w:t>«Как активный игрок на рынке недвижимости Кадастровая палата, естественно, обязана препятствовать мошенническим действиям в этой сфере</w:t>
      </w:r>
      <w:r w:rsidRPr="007A6C99">
        <w:rPr>
          <w:sz w:val="28"/>
          <w:szCs w:val="28"/>
        </w:rPr>
        <w:t>, – отметил </w:t>
      </w:r>
      <w:r w:rsidRPr="007A6C99">
        <w:rPr>
          <w:b/>
          <w:bCs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A6C99">
        <w:rPr>
          <w:b/>
          <w:bCs/>
          <w:sz w:val="28"/>
          <w:szCs w:val="28"/>
        </w:rPr>
        <w:t>Спиренков</w:t>
      </w:r>
      <w:proofErr w:type="spellEnd"/>
      <w:r w:rsidRPr="007A6C99">
        <w:rPr>
          <w:b/>
          <w:bCs/>
          <w:sz w:val="28"/>
          <w:szCs w:val="28"/>
        </w:rPr>
        <w:t xml:space="preserve">. </w:t>
      </w:r>
      <w:r w:rsidRPr="007A6C99">
        <w:rPr>
          <w:sz w:val="28"/>
          <w:szCs w:val="28"/>
        </w:rPr>
        <w:t xml:space="preserve">– </w:t>
      </w:r>
      <w:r w:rsidRPr="007A6C99">
        <w:rPr>
          <w:i/>
          <w:iCs/>
          <w:sz w:val="28"/>
          <w:szCs w:val="28"/>
        </w:rPr>
        <w:t>Со своей стороны мы стараемся всеми доступными нам силами защитить граждан от потенциальных рисков. В момент принятия решения нередко им необходима экспертная консультация, заключение. Под особой защитой чувствуешь себя, если у экспертного заключения есть гарантия госучреждения. Новый «пилот» поможет гражданам узнать самые важные нюансы про объект недвижимости «на берегу», перед сделкой. И уже имея полноценную картину, принять решение о его покупке».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Информационная справка готовится на основании данных из выписок из Единого государственного реестра недвижимости (ЕГРН) об объекте недвижимости и о переходе прав, публичной кадастровой карты, федеральной информационной адресной системы (ФИАС) и других ресурсов. Готовое заключение состоит из четырех разделов: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lastRenderedPageBreak/>
        <w:t>1.Сведения об объекте недвижимости.</w:t>
      </w:r>
      <w:r w:rsidRPr="007A6C99">
        <w:rPr>
          <w:sz w:val="28"/>
          <w:szCs w:val="28"/>
        </w:rPr>
        <w:t xml:space="preserve"> Благодаря им можно узнать, наложен ли на объект арест, есть ли на нем обременение, не находится ли он в ипотеке или залоге, изымался ли когда-либо и т.д.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>2.Итоговая резолюция.</w:t>
      </w:r>
      <w:r w:rsidRPr="007A6C99">
        <w:rPr>
          <w:sz w:val="28"/>
          <w:szCs w:val="28"/>
        </w:rPr>
        <w:t xml:space="preserve"> Здесь эксперты Кадастровой палаты дают свои комментарии, основанные на регламентах, правилах пользования, правилах охраны и т.д. Например, не находится ли объект в зоне с особыми условиями использования территории.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>3.Рекомендации</w:t>
      </w:r>
      <w:r w:rsidRPr="007A6C99">
        <w:rPr>
          <w:sz w:val="28"/>
          <w:szCs w:val="28"/>
        </w:rPr>
        <w:t>. Это экспертное заключение и советы по проанализированному объекту недвижимости. Рекомендации не являются обязательными для исполнения, однако подскажут, стоит ли проводить сделку, а также расскажут, что делать с тем или иным объектом после приобретения.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b/>
          <w:bCs/>
          <w:sz w:val="28"/>
          <w:szCs w:val="28"/>
        </w:rPr>
        <w:t xml:space="preserve">4.Схема расположения объекта недвижимости. </w:t>
      </w:r>
      <w:r w:rsidRPr="007A6C99">
        <w:rPr>
          <w:sz w:val="28"/>
          <w:szCs w:val="28"/>
        </w:rPr>
        <w:t>То есть графическое представление объекта на карте.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При подготовке справки специалисты проводят комплексную и систематизированную проверку сведений об объекте недвижимости. Она позволяет своевременно выявить возможные проблемы и разработать варианты их устранения. Таким образом, сведения, указанные в справке, защищают покупателя объекта недвижимости от потенциальных мошеннических действий, связанных с его приобретением.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i/>
          <w:iCs/>
          <w:sz w:val="28"/>
          <w:szCs w:val="28"/>
        </w:rPr>
        <w:t xml:space="preserve"> «Предположим, покупатель выяснил, что его потенциальный земельный участок предназначен для ведения личного подсобного хозяйства, но половина участка входит в охранную зону газораспределительных сетей</w:t>
      </w:r>
      <w:r w:rsidRPr="007A6C99">
        <w:rPr>
          <w:sz w:val="28"/>
          <w:szCs w:val="28"/>
        </w:rPr>
        <w:t xml:space="preserve">, – поясняет </w:t>
      </w:r>
      <w:r w:rsidRPr="007A6C99">
        <w:rPr>
          <w:b/>
          <w:bCs/>
          <w:sz w:val="28"/>
          <w:szCs w:val="28"/>
        </w:rPr>
        <w:t xml:space="preserve">Вячеслав </w:t>
      </w:r>
      <w:proofErr w:type="spellStart"/>
      <w:r w:rsidRPr="007A6C99">
        <w:rPr>
          <w:b/>
          <w:bCs/>
          <w:sz w:val="28"/>
          <w:szCs w:val="28"/>
        </w:rPr>
        <w:t>Спиренков</w:t>
      </w:r>
      <w:proofErr w:type="spellEnd"/>
      <w:r w:rsidRPr="007A6C99">
        <w:rPr>
          <w:sz w:val="28"/>
          <w:szCs w:val="28"/>
        </w:rPr>
        <w:t xml:space="preserve">. – </w:t>
      </w:r>
      <w:r w:rsidRPr="007A6C99">
        <w:rPr>
          <w:i/>
          <w:iCs/>
          <w:sz w:val="28"/>
          <w:szCs w:val="28"/>
        </w:rPr>
        <w:t>Что ему делать с этой информацией без знания, например, ограничений в использовании такой территории? Здесь как раз на помощь придут наши эксперты. Они расскажут, что на этой половине участка, во-первых, он не сможет построить жилой дом, и это нужно будет учитывать при создании проектной документации, во-вторых, разместить, например, мангал, и в-третьих, столкнется еще с рядом ограничений. Соответственно, если хозяин участка не посчитал нужным сообщить это покупателю, последний будет проинструктирован экспертами, и сам примет решение, нужна ли ему такая покупка или нет».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 xml:space="preserve">Сейчас сводную информационную справку можно получить по ограниченному списку объектов недвижимости: индивидуальному жилому дому, гаражу, а также земельному участку, предоставленному для индивидуального жилищного строительства, садоводства и огородничества, </w:t>
      </w:r>
      <w:r w:rsidRPr="007A6C99">
        <w:rPr>
          <w:sz w:val="28"/>
          <w:szCs w:val="28"/>
        </w:rPr>
        <w:lastRenderedPageBreak/>
        <w:t>личного подсобного хозяйства или размещения гаражей. Но в дальнейшем перечень объектов может расшириться.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Заказать услугу могут граждане и юридические лица, индивидуальные предприниматели. Для этого необходимо: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1) Обратиться в филиал Федеральной кадастровой палаты, который оказывает данную услугу (пока это филиалы Кадастровой палаты по Ставропольскому краю и Астраханской области). Сотрудник филиала проверит, доступна ли услуга для этого вида объекта недвижимости. Если доступна, можно приступать к оформлению услуги.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2) Заключить договор оказания платных услуг.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3) Оплатить услугу в течение 10 календарных дней с момента заключения договора.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 xml:space="preserve">4) Предоставить выписки из ЕГРН об объекте недвижимости и о переходе прав на объект недвижимости, полученные заявителем в течение 10 календарных дней с момента заключения договора и после оплаты услуги. Самый быстрый способ получить выписку из ЕГРН – заказать </w:t>
      </w:r>
      <w:proofErr w:type="gramStart"/>
      <w:r w:rsidRPr="007A6C99">
        <w:rPr>
          <w:sz w:val="28"/>
          <w:szCs w:val="28"/>
        </w:rPr>
        <w:t>документ</w:t>
      </w:r>
      <w:proofErr w:type="gramEnd"/>
      <w:r w:rsidRPr="007A6C99">
        <w:rPr>
          <w:sz w:val="28"/>
          <w:szCs w:val="28"/>
        </w:rPr>
        <w:t xml:space="preserve"> не выходя из дома с помощью </w:t>
      </w:r>
      <w:hyperlink r:id="rId9" w:history="1">
        <w:r w:rsidRPr="007A6C99">
          <w:rPr>
            <w:rStyle w:val="a6"/>
            <w:sz w:val="28"/>
            <w:szCs w:val="28"/>
          </w:rPr>
          <w:t>онлайн-сервиса</w:t>
        </w:r>
      </w:hyperlink>
      <w:r w:rsidRPr="007A6C99">
        <w:rPr>
          <w:color w:val="334059"/>
          <w:sz w:val="28"/>
          <w:szCs w:val="28"/>
        </w:rPr>
        <w:t xml:space="preserve"> </w:t>
      </w:r>
      <w:r w:rsidRPr="007A6C99">
        <w:rPr>
          <w:sz w:val="28"/>
          <w:szCs w:val="28"/>
        </w:rPr>
        <w:t>Федеральной кадастровой палаты. При необходимости специалисты Кадастровой палаты помогут это сделать.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Справка подготавливается в течение одного рабочего дня после получения документа об оплате и выписок из ЕГРН.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textAlignment w:val="top"/>
        <w:rPr>
          <w:color w:val="000000"/>
          <w:sz w:val="16"/>
          <w:szCs w:val="16"/>
        </w:rPr>
      </w:pP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C9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7A6C9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7A6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A6C99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7A6C99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6D7452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703F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1"/>
  </w:num>
  <w:num w:numId="12">
    <w:abstractNumId w:val="44"/>
  </w:num>
  <w:num w:numId="13">
    <w:abstractNumId w:val="32"/>
  </w:num>
  <w:num w:numId="14">
    <w:abstractNumId w:val="38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23"/>
  </w:num>
  <w:num w:numId="20">
    <w:abstractNumId w:val="18"/>
  </w:num>
  <w:num w:numId="21">
    <w:abstractNumId w:val="11"/>
  </w:num>
  <w:num w:numId="22">
    <w:abstractNumId w:val="5"/>
  </w:num>
  <w:num w:numId="23">
    <w:abstractNumId w:val="43"/>
  </w:num>
  <w:num w:numId="24">
    <w:abstractNumId w:val="20"/>
  </w:num>
  <w:num w:numId="25">
    <w:abstractNumId w:val="16"/>
  </w:num>
  <w:num w:numId="26">
    <w:abstractNumId w:val="48"/>
  </w:num>
  <w:num w:numId="27">
    <w:abstractNumId w:val="10"/>
  </w:num>
  <w:num w:numId="28">
    <w:abstractNumId w:val="0"/>
  </w:num>
  <w:num w:numId="29">
    <w:abstractNumId w:val="30"/>
  </w:num>
  <w:num w:numId="30">
    <w:abstractNumId w:val="39"/>
  </w:num>
  <w:num w:numId="31">
    <w:abstractNumId w:val="21"/>
  </w:num>
  <w:num w:numId="32">
    <w:abstractNumId w:val="35"/>
  </w:num>
  <w:num w:numId="33">
    <w:abstractNumId w:val="46"/>
  </w:num>
  <w:num w:numId="34">
    <w:abstractNumId w:val="22"/>
  </w:num>
  <w:num w:numId="35">
    <w:abstractNumId w:val="47"/>
  </w:num>
  <w:num w:numId="36">
    <w:abstractNumId w:val="13"/>
  </w:num>
  <w:num w:numId="37">
    <w:abstractNumId w:val="41"/>
  </w:num>
  <w:num w:numId="38">
    <w:abstractNumId w:val="31"/>
  </w:num>
  <w:num w:numId="39">
    <w:abstractNumId w:val="2"/>
  </w:num>
  <w:num w:numId="40">
    <w:abstractNumId w:val="24"/>
  </w:num>
  <w:num w:numId="41">
    <w:abstractNumId w:val="33"/>
  </w:num>
  <w:num w:numId="42">
    <w:abstractNumId w:val="29"/>
  </w:num>
  <w:num w:numId="43">
    <w:abstractNumId w:val="7"/>
  </w:num>
  <w:num w:numId="44">
    <w:abstractNumId w:val="42"/>
  </w:num>
  <w:num w:numId="45">
    <w:abstractNumId w:val="45"/>
  </w:num>
  <w:num w:numId="46">
    <w:abstractNumId w:val="12"/>
  </w:num>
  <w:num w:numId="47">
    <w:abstractNumId w:val="8"/>
  </w:num>
  <w:num w:numId="48">
    <w:abstractNumId w:val="17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877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18CB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452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3FEE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6C99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1306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1758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238B-E69F-4FBA-82E6-A1CF1CE0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3</cp:revision>
  <cp:lastPrinted>2020-06-03T04:57:00Z</cp:lastPrinted>
  <dcterms:created xsi:type="dcterms:W3CDTF">2020-11-07T11:45:00Z</dcterms:created>
  <dcterms:modified xsi:type="dcterms:W3CDTF">2020-11-07T14:23:00Z</dcterms:modified>
</cp:coreProperties>
</file>